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Sponsorisopimus</w:t>
      </w:r>
    </w:p>
    <w:p>
      <w:r>
        <w:t>13:1 rippikoulumateriaalin tuotanto ja kehittäminen</w:t>
      </w:r>
    </w:p>
    <w:p>
      <w:pPr>
        <w:spacing w:after="80"/>
      </w:pPr>
      <w:r>
        <w:rPr>
          <w:sz w:val="20"/>
        </w:rPr>
        <w:t>Sopimus koskee Sheprock Media Oy:n ja kumppanin vastikkeellista yhteistyötä 13:1-projektissa. Tavoitteena on edistää nuorten hyvinvointia, osallisuutta, oppimista ja työllistymismahdollisuuksia. Rastita valinnat ja täytä kumppanikohtaiset hakasulut sekä liite 1 ennen allekirjoitusta.</w:t>
      </w:r>
    </w:p>
    <w:p>
      <w:pPr>
        <w:pStyle w:val="Heading1"/>
      </w:pPr>
      <w:r>
        <w:t>1 Sopimusosapuolet</w:t>
      </w:r>
    </w:p>
    <w:p>
      <w:pPr>
        <w:spacing w:after="80"/>
      </w:pPr>
      <w:r>
        <w:rPr>
          <w:sz w:val="20"/>
        </w:rPr>
        <w:t>Tuottaja: Sheprock Media Oy | Y-tunnus 3577119-8 | Kotipaikka Hämeenlinna</w:t>
        <w:br/>
        <w:t>Yleinen puhelin: +358 44 704 4200</w:t>
        <w:br/>
        <w:t>Sähköposti: sheprockmedia@gmail.com | Verkkosivu: https://sheprockteam.com</w:t>
      </w:r>
    </w:p>
    <w:p>
      <w:pPr>
        <w:spacing w:after="80"/>
      </w:pPr>
      <w:r>
        <w:rPr>
          <w:sz w:val="20"/>
        </w:rPr>
        <w:t>Projektin yhteyshenkilöt: Petra Paimenkallio ja Bäsmä Roinisto. Yhteydenpito: sheprockmedia@gmail.com. Allekirjoittaja ja tämän edustamisoikeus vahvistetaan allekirjoituskohdassa.</w:t>
      </w:r>
    </w:p>
    <w:p>
      <w:pPr>
        <w:spacing w:after="80"/>
      </w:pPr>
      <w:r>
        <w:rPr>
          <w:sz w:val="20"/>
        </w:rPr>
        <w:t>Kumppanin virallinen nimi ja Y-tunnus tai muu rekisteritunnus  [täydennä]</w:t>
      </w:r>
    </w:p>
    <w:p>
      <w:pPr>
        <w:spacing w:after="80"/>
      </w:pPr>
      <w:r>
        <w:rPr>
          <w:sz w:val="20"/>
        </w:rPr>
        <w:t>Kumppanin osoite sekä yhteyshenkilö ja sähköposti  [täydennä]</w:t>
      </w:r>
    </w:p>
    <w:p>
      <w:pPr>
        <w:pStyle w:val="Heading1"/>
      </w:pPr>
      <w:r>
        <w:t>2 Tarkoitus ja kohdennus</w:t>
      </w:r>
    </w:p>
    <w:p>
      <w:pPr>
        <w:spacing w:after="80"/>
      </w:pPr>
      <w:r>
        <w:rPr>
          <w:sz w:val="20"/>
        </w:rPr>
        <w:t>Sheprock kehittää nuorten kanssa nuorille suunnattua kristillistä, verkkopohjaista ja päivitettävää 13:1-rippikoulumateriaalia: 13 teemaa ja 1 kokonaisuus. Se tukee rippikoulun seurakuntaan tutustumisjaksoa, intensiivijaksoa (rippileiriä tai päivärippikoulua) ja konfirmaatiota. Yksi orientaatioteema painottuu tutustumisjaksoon ja 12 teemaa intensiivijaksoon. Kohderyhmänä ovat nuorten rippikouluryhmät ja rippikouluohjaajat; asiakkaiksi tavoitellaan seurakuntia vuosikäyttöoikeudella. Kyse on kehitysvaiheessa olevasta kaupallisesta tuotteesta.</w:t>
      </w:r>
    </w:p>
    <w:p>
      <w:pPr>
        <w:spacing w:after="80"/>
      </w:pPr>
      <w:r>
        <w:rPr>
          <w:sz w:val="20"/>
        </w:rPr>
        <w:t>Kumppanuustaso: [kehittämiskumppani / tuotantokumppani / laajempi kumppanuus]. Kohdennus valitaan seuraavan sivun rastitettavista vaihtoehdoista. Useamman kohdennuksen valinta on mahdollista; yleinen kumppanuus valitaan erillisenä vaihtoehtona, jolloin Sheprock kohdentaa korvauksen projektin tarpeiden mukaan.</w:t>
      </w:r>
    </w:p>
    <w:p>
      <w:pPr>
        <w:spacing w:after="80"/>
      </w:pPr>
      <w:r>
        <w:rPr>
          <w:sz w:val="20"/>
        </w:rPr>
        <w:t>Tavoite: käyttövalmis digitaalinen kokonaisuus nuorten oppimiseen ja ohjaajan valmisteluajan vähentämiseen. Kumppanikohtainen toteutuskohde ja tavoitteet: [täydennä liitteeseen 1].</w:t>
      </w:r>
    </w:p>
    <w:p>
      <w:pPr>
        <w:spacing w:after="80"/>
      </w:pPr>
      <w:r>
        <w:rPr>
          <w:sz w:val="20"/>
        </w:rPr>
        <w:t>Sopimuskauden alku ja loppu  [täydennä]</w:t>
      </w:r>
    </w:p>
    <w:p>
      <w:pPr>
        <w:spacing w:after="80"/>
      </w:pPr>
      <w:r>
        <w:rPr>
          <w:sz w:val="20"/>
        </w:rPr>
        <w:t>Yhteistyö on vastikkeellinen brändi- ja viestintäyhteistyö, ei vastikkeeton lahjoitus tai rahankeräys. Kumppani ei saa yhtiön osakkeita, tuotannon omistusta tai oikeutta myyntituottoihin. Vastineisiin ei sisälly myyntituloksen tai yleisömäärän takuuta.</w:t>
      </w:r>
    </w:p>
    <w:p>
      <w:pPr>
        <w:pStyle w:val="Heading1"/>
      </w:pPr>
      <w:r>
        <w:t>3 Korvaus ja laskutus</w:t>
      </w:r>
    </w:p>
    <w:p>
      <w:pPr>
        <w:spacing w:after="80"/>
      </w:pPr>
      <w:r>
        <w:rPr>
          <w:b/>
          <w:sz w:val="20"/>
        </w:rPr>
        <w:t>Valitse kumppanuustaso</w:t>
        <w:br/>
      </w:r>
      <w:sdt>
        <w:sdtPr>
          <w:alias w:val="Kehittämiskumppani"/>
          <w14:checkbox>
            <w14:checked w14:val="0"/>
            <w14:checkedState w14:val="2612" w14:font="DejaVu Sans"/>
            <w14:uncheckedState w14:val="2610" w14:font="DejaVu Sans"/>
          </w14:checkbox>
        </w:sdtPr>
        <w:sdtContent>
          <w:r>
            <w:t>☐</w:t>
          </w:r>
        </w:sdtContent>
      </w:sdt>
      <w:r>
        <w:rPr>
          <w:sz w:val="20"/>
        </w:rPr>
        <w:t xml:space="preserve"> Kehittämiskumppani: 1 000 € ilman alv:tä (25,5 % alv: 255 €; yhteensä 1 255 €).</w:t>
        <w:br/>
      </w:r>
      <w:sdt>
        <w:sdtPr>
          <w:alias w:val="Tuotantokumppani"/>
          <w14:checkbox>
            <w14:checked w14:val="0"/>
            <w14:checkedState w14:val="2612" w14:font="DejaVu Sans"/>
            <w14:uncheckedState w14:val="2610" w14:font="DejaVu Sans"/>
          </w14:checkbox>
        </w:sdtPr>
        <w:sdtContent>
          <w:r>
            <w:t>☐</w:t>
          </w:r>
        </w:sdtContent>
      </w:sdt>
      <w:r>
        <w:rPr>
          <w:sz w:val="20"/>
        </w:rPr>
        <w:t xml:space="preserve"> Tuotantokumppani: 3 000 € ilman alv:tä (25,5 % alv: 765 €; yhteensä 3 765 €).</w:t>
        <w:br/>
      </w:r>
      <w:sdt>
        <w:sdtPr>
          <w:alias w:val="Laajempi kumppanuus"/>
          <w14:checkbox>
            <w14:checked w14:val="0"/>
            <w14:checkedState w14:val="2612" w14:font="DejaVu Sans"/>
            <w14:uncheckedState w14:val="2610" w14:font="DejaVu Sans"/>
          </w14:checkbox>
        </w:sdtPr>
        <w:sdtContent>
          <w:r>
            <w:t>☐</w:t>
          </w:r>
        </w:sdtContent>
      </w:sdt>
      <w:r>
        <w:rPr>
          <w:sz w:val="20"/>
        </w:rPr>
        <w:t xml:space="preserve"> Laajempi kumppanuus: [veroton korvaus] € + [alv] € = [yhteensä] €.</w:t>
        <w:br/>
      </w:r>
      <w:r>
        <w:rPr>
          <w:sz w:val="20"/>
        </w:rPr>
        <w:t>Lopullinen veroton korvaus [summa] €; verokanta ja peruste [täydennä]; alv [summa] €; yhteensä [summa] €. Verolliset esimerkit edellyttävät yleistä 25,5 % verokantaa. Sheprockin alv-velvollisuus ja kaupan verokohtelu varmistetaan ennen allekirjoitusta.</w:t>
      </w:r>
    </w:p>
    <w:p>
      <w:pPr>
        <w:spacing w:after="80"/>
      </w:pPr>
      <w:r>
        <w:rPr>
          <w:sz w:val="20"/>
        </w:rPr>
        <w:t>Lasku toimitetaan sähköpostitse tai verkkolaskuna vasta molempien osapuolten allekirjoituksen jälkeen. Maksuehto on 14 päivää netto, ellei tässä sovita muuta: [laskutuserät ja toimituksiin sidotut maksut tai 14 päivää netto]. Maksu suoritetaan laskussa ilmoitetulle Sheprock Media Oy:n pankkitilille. Viivästyskorko määräytyy korkolain mukaan.</w:t>
      </w:r>
    </w:p>
    <w:p>
      <w:pPr>
        <w:spacing w:after="80"/>
      </w:pPr>
      <w:r>
        <w:rPr>
          <w:sz w:val="20"/>
        </w:rPr>
        <w:t>Laskutusosoite tai sähköposti sekä viite  [täydennä]</w:t>
      </w:r>
    </w:p>
    <w:p>
      <w:pPr>
        <w:spacing w:after="80"/>
      </w:pPr>
      <w:r>
        <w:rPr>
          <w:sz w:val="20"/>
        </w:rPr>
        <w:t>Verkkolaskuosoite ja operaattoritunnus tarvittaessa  [täydennä]</w:t>
      </w:r>
    </w:p>
    <w:p>
      <w:r>
        <w:br w:type="page"/>
      </w:r>
    </w:p>
    <w:p>
      <w:pPr>
        <w:pStyle w:val="Heading1"/>
      </w:pPr>
      <w:r>
        <w:t>Kohdennuksen valinta ja siihen liittyvä vastine</w:t>
      </w:r>
    </w:p>
    <w:p>
      <w:r>
        <w:t>Rastita valittu kohdennus tai valitut kohdennukset. Valittu kumppanuustaso määrittää toimitusten määrän ja laajuuden. Alla kuvattu vastine täsmennetään liitteessä 1; useampi valinta ei automaattisesti moninkertaista paketin toimituksia. Rahamääräinen jako kirjataan alle.</w:t>
      </w:r>
    </w:p>
    <w:p>
      <w:sdt>
        <w:sdtPr>
          <w:alias w:val="Virike elokuva tai muu AV tuotanto"/>
          <w14:checkbox>
            <w14:checked w14:val="0"/>
            <w14:checkedState w14:val="2612" w14:font="DejaVu Sans"/>
            <w14:uncheckedState w14:val="2610" w14:font="DejaVu Sans"/>
          </w14:checkbox>
        </w:sdtPr>
        <w:sdtContent>
          <w:r>
            <w:rPr>
              <w:rFonts w:ascii="DejaVu Sans" w:hAnsi="DejaVu Sans"/>
            </w:rPr>
            <w:t>☐</w:t>
          </w:r>
        </w:sdtContent>
      </w:sdt>
      <w:r>
        <w:rPr>
          <w:b/>
        </w:rPr>
        <w:t xml:space="preserve">  Virike-elokuva tai muu AV-tuotanto</w:t>
      </w:r>
    </w:p>
    <w:p>
      <w:r>
        <w:t>Kohde: [nimetty virike-elokuva tai muu AV-tuotanto]. Vastine: kumppanin nimi ja logo erillisissä lopputeksteissä, kohteeseen liittyvä kumppaniesittely ja sovittu kuva- ja tekstiaineisto. Virike-elokuva virittää teemaan ja pohdintaan; yhteistyö näkyy tuotantotiedoissa, oppimissisältö säilyy riippumattomana. Versio, näkyvyysaika ja korvaava toteutus täsmennetään liitteessä 1. Tämä kohdennus toteutetaan tuotantokumppanuutena tai erikseen hinnoiteltuna kokonaisuutena.</w:t>
      </w:r>
    </w:p>
    <w:p>
      <w:sdt>
        <w:sdtPr>
          <w:alias w:val="Nuorten osallistuminen suunnitteluun ja tuotantoon"/>
          <w14:checkbox>
            <w14:checked w14:val="0"/>
            <w14:checkedState w14:val="2612" w14:font="DejaVu Sans"/>
            <w14:uncheckedState w14:val="2610" w14:font="DejaVu Sans"/>
          </w14:checkbox>
        </w:sdtPr>
        <w:sdtContent>
          <w:r>
            <w:rPr>
              <w:rFonts w:ascii="DejaVu Sans" w:hAnsi="DejaVu Sans"/>
            </w:rPr>
            <w:t>☐</w:t>
          </w:r>
        </w:sdtContent>
      </w:sdt>
      <w:r>
        <w:rPr>
          <w:b/>
        </w:rPr>
        <w:t xml:space="preserve">  Nuorten osallistuminen suunnitteluun ja tuotantoon</w:t>
      </w:r>
    </w:p>
    <w:p>
      <w:r>
        <w:t>Kohde: ohjatut ideointi- ja arviointityöpajat sekä käsikirjoittamisen, esiintymisen, haastattelujen, valokuvauksen, elokuvatuotannon tai kuvitusten taiteellisen tuotannon tehtävät. Rahoituksen mahdollistamat palkalliset tehtävät ja korvaukset sovitaan erikseen nuorten kanssa. Sheprock vastaa työnantajavelvoitteista ja nuorten työnteon ikää, työaikaa, turvallisuutta sekä mahdollisia lupia koskevista vaatimuksista. Kumppanuus ei takaa tiettyä työllistettyjen nuorten määrää. Vastine: osallisuutta kuvaava kumppaniesittely, yhteistyöviestinnän aineisto ja sovitut etenemisyhteenvedot ilman nuorten henkilötietoja. Nimetyn elokuvan lopputekstimaininta voidaan sopia erikseen.</w:t>
      </w:r>
    </w:p>
    <w:p>
      <w:sdt>
        <w:sdtPr>
          <w:alias w:val="Verkkopalvelun ja käyttöliittymän rakentaminen"/>
          <w14:checkbox>
            <w14:checked w14:val="0"/>
            <w14:checkedState w14:val="2612" w14:font="DejaVu Sans"/>
            <w14:uncheckedState w14:val="2610" w14:font="DejaVu Sans"/>
          </w14:checkbox>
        </w:sdtPr>
        <w:sdtContent>
          <w:r>
            <w:rPr>
              <w:rFonts w:ascii="DejaVu Sans" w:hAnsi="DejaVu Sans"/>
            </w:rPr>
            <w:t>☐</w:t>
          </w:r>
        </w:sdtContent>
      </w:sdt>
      <w:r>
        <w:rPr>
          <w:b/>
        </w:rPr>
        <w:t xml:space="preserve">  Verkkopalvelun ja käyttöliittymän rakentaminen</w:t>
      </w:r>
    </w:p>
    <w:p>
      <w:r>
        <w:t>Kohde: verkkopalvelun ja käyttöliittymän suunnittelu, rakentaminen, saavutettavuus, käytettävyys tai sisältöjen löydettävyys. Vastine: kumppaniesittely erillisellä aikuisille suunnatulla kumppanisivulla sekä palvelun kehittämistä kuvaava yhteistyöviestinnän aineisto. Nimi- ja logomaininta voidaan sopia palvelun erillisiin tuotantotietoihin. Opetusnäkymät palvelevat nuorten oppimista.</w:t>
      </w:r>
    </w:p>
    <w:p>
      <w:sdt>
        <w:sdtPr>
          <w:alias w:val="Kirjoitettu sisältö tai kuvitus"/>
          <w14:checkbox>
            <w14:checked w14:val="0"/>
            <w14:checkedState w14:val="2612" w14:font="DejaVu Sans"/>
            <w14:uncheckedState w14:val="2610" w14:font="DejaVu Sans"/>
          </w14:checkbox>
        </w:sdtPr>
        <w:sdtContent>
          <w:r>
            <w:rPr>
              <w:rFonts w:ascii="DejaVu Sans" w:hAnsi="DejaVu Sans"/>
            </w:rPr>
            <w:t>☐</w:t>
          </w:r>
        </w:sdtContent>
      </w:sdt>
      <w:r>
        <w:rPr>
          <w:b/>
        </w:rPr>
        <w:t xml:space="preserve">  Kirjoitettu sisältö tai kuvitus</w:t>
      </w:r>
    </w:p>
    <w:p>
      <w:r>
        <w:t>Kohde: teologinen tausta, pedagogiset lähestymistavat, ohjaajan aineisto, PDF-tehtävät ja värityskuvat, virikevalokuvat, pohdinta- ja prosessointitehtävät, nuorten haastattelut, Kahoot-tehtävät, taidepainotteinen aistinvarainen virittäytyminen, teemakohtainen vihkomateriaali tai aineiston päivittäminen. Vastine: valittua työtä kuvaava kumppaniesittely ja yhteistyöviestinnän aineisto. Hillitty nimi- ja logomaininta aineiston erillisissä tuotantotiedoissa voidaan sopia liitteessä 1. Tämä kuvaus ei itsessään määritä kaikkia tuotteeseen toteutettavia ominaisuuksia tai toimitusaikoja.</w:t>
      </w:r>
    </w:p>
    <w:p>
      <w:sdt>
        <w:sdtPr>
          <w:alias w:val="Ei kohdennusta yleinen kumppanuus koko projektiin"/>
          <w14:checkbox>
            <w14:checked w14:val="0"/>
            <w14:checkedState w14:val="2612" w14:font="DejaVu Sans"/>
            <w14:uncheckedState w14:val="2610" w14:font="DejaVu Sans"/>
          </w14:checkbox>
        </w:sdtPr>
        <w:sdtContent>
          <w:r>
            <w:rPr>
              <w:rFonts w:ascii="DejaVu Sans" w:hAnsi="DejaVu Sans"/>
            </w:rPr>
            <w:t>☐</w:t>
          </w:r>
        </w:sdtContent>
      </w:sdt>
      <w:r>
        <w:rPr>
          <w:b/>
        </w:rPr>
        <w:t xml:space="preserve">  Yleinen kumppanuus koko projektiin ilman kohdennusta</w:t>
      </w:r>
    </w:p>
    <w:p>
      <w:r>
        <w:t>Sheprock päättää korvauksen käytöstä 13:1-projektin tuotannon ja kehittämisen tarpeiden mukaan. Vastineena toteutetaan valitun kumppanuustason kumppaniesittely ja viestintäaineistot sekä sovittu etenemisyhteenveto. Kohdentamisoikeus koskee projektin sisäistä rahoituksen käyttöä; sovittuja vastineita ja aikatauluja muutetaan vain kirjallisesti yhdessä. Elokuvan lopputekstimaininta edellyttää nimetyn elokuvan ja esitystavan sopimista. Yleinenkin kumppanuus on vastikkeellinen brändi- ja viestintäpalvelu.</w:t>
      </w:r>
    </w:p>
    <w:p>
      <w:r>
        <w:t>Kohdennusten rahamääräinen jako: [valitut kohteet ja euromäärät]. Yleisen kumppanuuden valinnalla Sheprock saa kohdentaa koko verottoman korvauksen projektin tarpeisiin; erillistä rahamääräistä jakoa ei silloin tarvita.</w:t>
      </w:r>
    </w:p>
    <w:p>
      <w:r>
        <w:br w:type="page"/>
      </w:r>
    </w:p>
    <w:p>
      <w:pPr>
        <w:pStyle w:val="Heading1"/>
      </w:pPr>
      <w:r>
        <w:t>4 Sovitut vastineet</w:t>
      </w:r>
    </w:p>
    <w:p>
      <w:r>
        <w:t>Tähän sopimukseen ja liitteeseen 1 yksilöidyt vastineet toteutetaan tunnistettavana kumppanuusviestintänä. Verkkosivujen ja videoiden esittelyt kuvaavat projektin tavoitteita; sopimusvelvoitteet määräytyvät tämän sopimuksen perusteella. Markkinakoko, esimerkkilaskelmat tai tavoitellut hyödyt eivät ole lupauksia saavutettavasta yleisömäärästä, myynnistä, säästöistä tai työpaikoista. Rahallinen säästö riippuu työn järjestämisestä.</w:t>
      </w:r>
    </w:p>
    <w:p>
      <w:pPr>
        <w:pStyle w:val="Heading2"/>
      </w:pPr>
      <w:r>
        <w:t>Kehittämiskumppanuuden perusvastineet</w:t>
      </w:r>
    </w:p>
    <w:p>
      <w:r>
        <w:t>Nimi, logo, lyhyt kumppaniesittely ja linkki kumppanin organisaatiosivulle julkaistaan Sheprockin erillisellä, aikuisille suunnatulla kumppanisivulla 12 kuukaudeksi. Sheprock tuottaa yhden yhteistyötä kuvaavan kuvan ja tekstin kumppanin omaan viestintään; käyttöoikeus on 12 kuukautta sovitusta toimituksesta. Pakettiin kuuluu yhteenveto sovitusta työstä ja vastineiden toteutumisesta. Julkaisupaikka ja alkuajankohta kirjataan liitteeseen 1.</w:t>
      </w:r>
    </w:p>
    <w:p>
      <w:pPr>
        <w:pStyle w:val="Heading2"/>
      </w:pPr>
      <w:r>
        <w:t>Tuotantokumppanuuden lisävastineet</w:t>
      </w:r>
    </w:p>
    <w:p>
      <w:r>
        <w:t>Perusvastineiden lisäksi tuotetaan laajempi kumppaniesittely, yksi yhteistyöjulkaisu Sheprockin yritysviestintään sekä yhteensä kaksi erillistä kuva- ja tekstiaineistoa kumppanin käyttöön. Yhteistyöhön kuuluu aloituskeskustelu ja kaksi etenemisyhteenvetoa sekä sovittu nimi- ja logomaininta nimetyn virike-elokuvan lopputeksteissä, jos elokuva toteutuu.</w:t>
      </w:r>
    </w:p>
    <w:p>
      <w:r>
        <w:t>Laajemman kumppanuuden vastineet ja kiinteä hinta määritellään liitteessä 1. Valittua pakettia muutetaan molempien kirjallisella hyväksynnällä. Toimituksiin kirjataan julkaisupaikka, laajuus, toimituspäivä ja käyttöaika. Korvauksen ja palvelutoimitusten tulee muodostaa aidosti vastikkeellinen kokonaisuus; nimi- tai logomaininta, kiitos tai raportti ei yksin muodosta paketin koko vastinetta.</w:t>
      </w:r>
    </w:p>
    <w:p>
      <w:pPr>
        <w:pStyle w:val="Heading1"/>
      </w:pPr>
      <w:r>
        <w:t>5 Elokuvan lopputekstit ja logojen käyttö</w:t>
      </w:r>
    </w:p>
    <w:p>
      <w:r>
        <w:t>Nimetty elokuva tai muu tuotanto sekä sovittu julkaisuversio  [täydennä]</w:t>
      </w:r>
    </w:p>
    <w:p>
      <w:r>
        <w:t>Lopputekstimaininnan otsikko: Tuotantokumppanit, ellei liitteessä 1 sovita muuta. Kumppanin esitystapa: nimi ja logo erillisissä lopputeksteissä; kuvan koko, näkyvyysaika ja sijainti täsmennetään liitteessä. Kumppani hyväksyy logon oikeellisuuden. Elokuvan sisällöstä vastaa Sheprock.</w:t>
      </w:r>
    </w:p>
    <w:p>
      <w:r>
        <w:t>Lopputekstimaininnan säilyminen: [sovitussa julkaisuversiossa niin kauan kuin sitä käytetään / määräpäivään asti / muu täsmällinen ehto]. Uudet, olennaisesti muutetut julkaisuversiot ja jatkotuotannot eivät kuulu vastineeseen ilman erillistä sopimusta. Jos nimetty tuotanto ei toteudu, sovelletaan kohdan 9 menettelyä.</w:t>
      </w:r>
    </w:p>
    <w:p>
      <w:r>
        <w:t>Kumppani antaa Sheprockille rajatun oikeuden käyttää nimeään ja logoaan sovituissa julkaisuissa. Kumppani vastaa luovuttamiensa tunnusten käyttöoikeuksista. Aineistojen toimittamisen määräpäivä: [päivä]. Sheprock antaa kumppanille ei-yksinomaisen oikeuden käyttää toimitettuja yhteistyökuvia ja -tekstejä omassa organisaatioviestinnässään 12 kuukautta sovitusta toimituksesta, ellei liitteessä sovita muuta. Nuorten henkilöllisyyttä paljastavia aineistoja ei sisällytetä tähän käyttöoikeuteen.</w:t>
      </w:r>
    </w:p>
    <w:p>
      <w:r>
        <w:t>Kannustamme kumppania kertomaan yhteistyöstä myös omassa markkinoinnissaan. Kumppani saa käyttää sovittuja yhteistyöaineistoja ja hyväksyttyä Sheprockin tai 13:1-tuotteen tunnusta sovituissa kanavissa ja käyttöajan puitteissa. Viestinnästä käy ilmi yhteistyön luonne ja kohde. Se kuvaa toteutuneita toimia totuudenmukaisesti eikä anna kuvaa kirkon hyväksynnästä tai tuotteiden suosittelusta. Käyttöajan päätyttyä aineistoista ei tehdä uusia julkaisuja; aiempien julkaisujen säilymisestä sovitaan liitteessä 1.</w:t>
      </w:r>
    </w:p>
    <w:p>
      <w:r>
        <w:br w:type="page"/>
      </w:r>
    </w:p>
    <w:p>
      <w:pPr>
        <w:pStyle w:val="Heading1"/>
      </w:pPr>
      <w:r>
        <w:t>6 Sisällön riippumattomuus ja nuorten suoja</w:t>
      </w:r>
    </w:p>
    <w:p>
      <w:r>
        <w:t>Sheprock vastaa itsenäisesti teologisista, pedagogisista ja taiteellisista ratkaisuista sekä esiintyjien ja nuorten valinnasta. Kumppanin näkemyksiä hyödynnetään sovitussa yhteistyöviestinnässä. Osallistuminen säilyy sisällön ehdoilla; sopimus ei anna määräys- tai veto-oikeutta opetussisältöön. Mahdollinen rajattu toimialayksinoikeus sovitaan erikseen siten, että riippumattomuus säilyy.</w:t>
      </w:r>
    </w:p>
    <w:p>
      <w:r>
        <w:t>Oppimateriaali keskittyy nuorten oppimiseen. Kumppanin nimi ja logo voivat näkyä hillitysti erillisissä tuotantotiedoissa ja lopputeksteissä. Niihin ei liitetä nuorille suunnattuja ostokehotuksia tai myyntilinkkejä. Tehtävissä, Kahoot-kysymyksissä ja virike-elokuvien tarinoissa ei ole sponsorin tuote- tai ostomainontaa.</w:t>
      </w:r>
    </w:p>
    <w:p>
      <w:r>
        <w:t>Kumppani ei saa nuorten yhteystietoja eikä tämän sopimuksen perusteella oikeutta nuorten kuviin, ääneen tai tarinoihin omassa markkinoinnissaan. Sheprock huolehtii tuotannossa tarvittavista osallistumis- ja kuvausluvista, alaikäisten osalta tarvittavista huoltajien luvista sekä turvallisesta ohjauksesta. Osallistuminen on vapaaehtoista eikä kumppani voi edellyttää nuorten toimivan mainostajinaan.</w:t>
      </w:r>
    </w:p>
    <w:p>
      <w:r>
        <w:t>Raportoinnissa käytetään koosteita ja tarvittaessa anonymisoituja tietoja. Kumppanuus ei merkitse kirkon, seurakunnan tai yksittäisen nuoren suositusta kumppanille.</w:t>
      </w:r>
    </w:p>
    <w:p>
      <w:pPr>
        <w:pStyle w:val="Heading1"/>
      </w:pPr>
      <w:r>
        <w:t>7 Kumppanin soveltuvuus</w:t>
      </w:r>
    </w:p>
    <w:p>
      <w:r>
        <w:t>Kumppanilta edellytetään yhteensopivuutta nuorten hyvinvoinnin, osallisuuden, oppimisen ja turvallisuuden kanssa. Sheprock varaa oikeuden pidättäytyä tupakka- ja nikotiinituotteisiin, alkoholibrändeihin, rahapeleihin, aikuisviihteeseen tai nuorten taloudellista haavoittuvuutta hyödyntäviin palveluihin perustuvasta yhteistyöstä. Materiaalin yhteiskunnallinen tarkoitus säilyy puoluepoliittisista vaalikampanjoista erillisenä.</w:t>
      </w:r>
    </w:p>
    <w:p>
      <w:r>
        <w:t>Kumppani sitoutuu ilmoittamaan olennaisista toiminnan tai omistuksen muutoksista, jotka vaikuttavat soveltuvuuteen. Perustellut vakavat huolet syrjinnästä, hyväksikäytöstä tai harhaanjohtamisesta arvioidaan tapauskohtaisesti. Pelkkä vahvistamaton väite ei sellaisenaan ole sopimuksen purkuperuste. Sisällön määräysvaltaa tai nuorten henkilötietoja koskevat vaatimukset eivät kuulu sallittuun yhteistyöhön.</w:t>
      </w:r>
    </w:p>
    <w:p>
      <w:pPr>
        <w:pStyle w:val="Heading1"/>
      </w:pPr>
      <w:r>
        <w:t>8 Oikeudet ja luottamuksellisuus</w:t>
      </w:r>
    </w:p>
    <w:p>
      <w:r>
        <w:t>Materiaalin, käsikirjoitusten, elokuvien ja muiden tuotantojen oikeudet säilyvät Sheprockilla ja niiden oikeudenhaltijoilla. Kumppanille siirtyvät vain kohdassa 5 ja liitteessä yksilöidyt käyttöoikeudet. Tekijöiden ja muiden oikeudenhaltijoiden luvat varmistetaan ennen aineistojen luovuttamista.</w:t>
      </w:r>
    </w:p>
    <w:p>
      <w:r>
        <w:t>Osapuolet suojaavat toisiltaan saamansa luottamukselliset liike- ja henkilötiedot. Julkaistavaksi sovitut kumppanitiedot eivät ole luottamuksellisia. Viranomaiselle tai kirjanpidon hoitajalle voidaan luovuttaa velvoitteiden edellyttämät tiedot. Osapuolet toimivat omien yhteyshenkilö- ja sopimustietojensa osalta itsenäisinä rekisterinpitäjinä.</w:t>
      </w:r>
    </w:p>
    <w:p>
      <w:r>
        <w:br w:type="page"/>
      </w:r>
    </w:p>
    <w:p>
      <w:pPr>
        <w:pStyle w:val="Heading1"/>
      </w:pPr>
      <w:r>
        <w:t>9 Muutokset viivästys ja tuotannon keskeytyminen</w:t>
      </w:r>
    </w:p>
    <w:p>
      <w:r>
        <w:t>Sheprock ilmoittaa olennaisesta viivästyksestä tai kohdennuksen muutostarpeesta ilman aiheetonta viivytystä. Sitovaa kohdennusta tai olennaista vastinetta muutetaan vain yhdessä kirjallisesti. Yleisessä kumppanuudessa Sheprock voi kohdentaa korvauksen uudelleen projektin sisällä kohdan 2 ja kohdennusvalinnan mukaisesti. Korvaavasta toimituksesta ja uudesta aikataulusta sovitaan kirjallisesti.</w:t>
      </w:r>
    </w:p>
    <w:p>
      <w:r>
        <w:t>Jos sovittu elokuva tai muu kohde peruuntuu, osapuolet neuvottelevat 30 päivän kuluessa ilmoituksesta korvaavasta, arvoltaan vastaavasta toteutuksesta. Ellei sopua synny, toteutumatta jääviin vastineisiin kohdistuva maksu palautetaan 30 päivän kuluessa. Jo sovitusti toimitetut vastineet laskutetaan liitteen 1 arvonjaon mukaisesti. Tuotantoon jo käytetty raha ei itsessään poista palautusvelvollisuutta sovittujen vastineiden jäädessä toimittamatta.</w:t>
      </w:r>
    </w:p>
    <w:p>
      <w:pPr>
        <w:pStyle w:val="Heading1"/>
      </w:pPr>
      <w:r>
        <w:t>10 Sopimusrikkomus ja päättäminen</w:t>
      </w:r>
    </w:p>
    <w:p>
      <w:r>
        <w:t>Olennaisesta sopimusrikkomuksesta ilmoitetaan kirjallisesti ja annetaan 14 päivää korjaamiseen, jos rikkomus on korjattavissa. Jos rikkomusta ei korjata, toinen osapuoli voi purkaa sopimuksen. Vakava nuorten turvallisuutta, tietosuojaa tai sovittuja kumppanuusrajoja vaarantava rikkomus voi oikeuttaa välittömään keskeytykseen ja olennaisena sopimuksen purkuun.</w:t>
      </w:r>
    </w:p>
    <w:p>
      <w:r>
        <w:t>Sheprock voi perustellun, dokumentoidun soveltuvuusongelman selvittämiseksi keskeyttää kumppanin näkyvyyden väliaikaisesti. Kumppanille annetaan mahdollisuus tulla kuulluksi. Jos yhteistyön jatkaminen on olennaisesti ristiriidassa sovittujen periaatteiden kanssa, Sheprock voi päättää yhteistyön. Toteutuneiden ja toteutumattomien toimitusten rahallinen selvitys tehdään kohdan 9 ja liitteen 1 perusteella.</w:t>
      </w:r>
    </w:p>
    <w:p>
      <w:r>
        <w:t>Kumppanin oma peruminen: toteutuneet toimitukset ja kirjallisesti etukäteen hyväksytyt, peruuttamattomat välittömät kulut korvataan enintään sovittuun kokonaishintaan asti. Jäljelle jäävä maksu palautetaan. Sheprockin oma peruminen ilman kumppanin sopimusrikkomusta: toteutumattomien vastineiden maksu palautetaan. Päättymisen jälkeen uutta kumppanuusviestintää ei julkaista; jo julkaistujen ja lopputeksteihin sisältyvien mainintojen käsittelystä sovitaan kirjallisesti.</w:t>
      </w:r>
    </w:p>
    <w:p>
      <w:pPr>
        <w:pStyle w:val="Heading1"/>
      </w:pPr>
      <w:r>
        <w:t>11 Vastuu ylivoimainen este ja sovellettava laki</w:t>
      </w:r>
    </w:p>
    <w:p>
      <w:r>
        <w:t>Osapuoli vastaa aiheuttamastaan sopimusrikkomuksesta johtuvasta välittömästä vahingosta. Välillisiä vahinkoja, kuten menetettyä myyntiä, ei korvata. Vahingonkorvauksen enimmäismäärä on sovittu veroton kokonaiskorvaus. Rajoitus ei koske tahallisuutta, törkeää huolimattomuutta, palautettavia maksuja tai vastuuta, jota pakottavan lain mukaan ei voi rajoittaa.</w:t>
      </w:r>
    </w:p>
    <w:p>
      <w:r>
        <w:t>Osapuolen vaikutusmahdollisuuksien ulkopuolinen ennakoimaton ja estämätön tapahtuma voi siirtää velvoitteen täyttämistä. Esteestä ja sen vaikutuksista ilmoitetaan viipymättä. Jos este jatkuu yli 90 päivää, kumpikin voi päättää toteutumattoman osuuden; maksujen selvitys tehdään kohdan 9 mukaan.</w:t>
      </w:r>
    </w:p>
    <w:p>
      <w:r>
        <w:t>Sopimukseen sovelletaan Suomen lakia. Erimielisyydet pyritään ensin ratkaisemaan neuvotteluilla. Ellei ratkaisua synny, asia käsitellään vastaajan kotipaikan toimivaltaisessa käräjäoikeudessa. Sopimuksen muutokset hyväksytään kirjallisesti. Yksilöidyt liitteen ehdot ovat ristiriitatilanteessa ensisijaisia yleisiin pakettikuvauksiin nähden.</w:t>
      </w:r>
    </w:p>
    <w:p>
      <w:r>
        <w:br w:type="page"/>
      </w:r>
    </w:p>
    <w:p>
      <w:pPr>
        <w:pStyle w:val="Heading1"/>
      </w:pPr>
      <w:r>
        <w:t>Liite 1 Yhteistyön toteutus ja vastineiden arvonjako</w:t>
      </w:r>
    </w:p>
    <w:p>
      <w:pPr>
        <w:spacing w:after="60"/>
      </w:pPr>
      <w:r>
        <w:rPr>
          <w:sz w:val="19"/>
        </w:rPr>
        <w:t>Tämä liite on osa sopimusta. Täytä jokainen sovittu vastine omalle rivilleen. Lisää tarvittaessa rivejä. Arvonjaon verottoman summan tulee vastata sopimuksen verotonta kokonaiskorvausta. Toimitusten arvonjako toimii myös mahdollisten palautusten laskentaperusteena.</w:t>
      </w:r>
    </w:p>
    <w:tbl>
      <w:tblPr>
        <w:tblW w:type="auto" w:w="0"/>
        <w:tblLayout w:type="fixed"/>
        <w:tblLook w:firstColumn="1" w:firstRow="1" w:lastColumn="0" w:lastRow="0" w:noHBand="0" w:noVBand="1" w:val="04A0"/>
      </w:tblPr>
      <w:tblGrid>
        <w:gridCol w:w="2381"/>
        <w:gridCol w:w="2381"/>
        <w:gridCol w:w="2381"/>
        <w:gridCol w:w="2381"/>
      </w:tblGrid>
      <w:tr>
        <w:trPr>
          <w:cantSplit/>
          <w:tblHeader/>
        </w:trPr>
        <w:tc>
          <w:tcPr>
            <w:tcW w:type="dxa" w:w="3402"/>
            <w:shd w:fill="E8ECEF"/>
            <w:tcBorders>
              <w:top w:val="single" w:sz="4" w:color="D9D9D9"/>
              <w:left w:val="single" w:sz="4" w:color="D9D9D9"/>
              <w:bottom w:val="single" w:sz="4" w:color="D9D9D9"/>
              <w:right w:val="single" w:sz="4" w:color="D9D9D9"/>
            </w:tcBorders>
          </w:tcPr>
          <w:p>
            <w:pPr>
              <w:spacing w:after="60" w:before="140"/>
            </w:pPr>
            <w:r>
              <w:rPr>
                <w:sz w:val="18"/>
              </w:rPr>
              <w:t>Toimitus ja julkaisupaikka</w:t>
            </w:r>
          </w:p>
        </w:tc>
        <w:tc>
          <w:tcPr>
            <w:tcW w:type="dxa" w:w="1701"/>
            <w:shd w:fill="E8ECEF"/>
            <w:tcBorders>
              <w:top w:val="single" w:sz="4" w:color="D9D9D9"/>
              <w:left w:val="single" w:sz="4" w:color="D9D9D9"/>
              <w:bottom w:val="single" w:sz="4" w:color="D9D9D9"/>
              <w:right w:val="single" w:sz="4" w:color="D9D9D9"/>
            </w:tcBorders>
          </w:tcPr>
          <w:p>
            <w:pPr>
              <w:spacing w:after="60" w:before="140"/>
            </w:pPr>
            <w:r>
              <w:rPr>
                <w:sz w:val="18"/>
              </w:rPr>
              <w:t>Toimituspäivä</w:t>
            </w:r>
          </w:p>
        </w:tc>
        <w:tc>
          <w:tcPr>
            <w:tcW w:type="dxa" w:w="2268"/>
            <w:shd w:fill="E8ECEF"/>
            <w:tcBorders>
              <w:top w:val="single" w:sz="4" w:color="D9D9D9"/>
              <w:left w:val="single" w:sz="4" w:color="D9D9D9"/>
              <w:bottom w:val="single" w:sz="4" w:color="D9D9D9"/>
              <w:right w:val="single" w:sz="4" w:color="D9D9D9"/>
            </w:tcBorders>
          </w:tcPr>
          <w:p>
            <w:pPr>
              <w:spacing w:after="60" w:before="140"/>
            </w:pPr>
            <w:r>
              <w:rPr>
                <w:sz w:val="18"/>
              </w:rPr>
              <w:t>Käyttö tai näkyvyysaika</w:t>
            </w:r>
          </w:p>
        </w:tc>
        <w:tc>
          <w:tcPr>
            <w:tcW w:type="dxa" w:w="1701"/>
            <w:shd w:fill="E8ECEF"/>
            <w:tcBorders>
              <w:top w:val="single" w:sz="4" w:color="D9D9D9"/>
              <w:left w:val="single" w:sz="4" w:color="D9D9D9"/>
              <w:bottom w:val="single" w:sz="4" w:color="D9D9D9"/>
              <w:right w:val="single" w:sz="4" w:color="D9D9D9"/>
            </w:tcBorders>
          </w:tcPr>
          <w:p>
            <w:pPr>
              <w:spacing w:after="60" w:before="140"/>
            </w:pPr>
            <w:r>
              <w:rPr>
                <w:sz w:val="18"/>
              </w:rPr>
              <w:t>Arvo euroa ilman alv</w:t>
            </w:r>
          </w:p>
        </w:tc>
      </w:tr>
      <w:tr>
        <w:trPr>
          <w:cantSplit/>
        </w:trPr>
        <w:tc>
          <w:tcPr>
            <w:tcW w:type="dxa" w:w="2381"/>
            <w:tcBorders>
              <w:top w:val="single" w:sz="4" w:color="D9D9D9"/>
              <w:left w:val="single" w:sz="4" w:color="D9D9D9"/>
              <w:bottom w:val="single" w:sz="4" w:color="D9D9D9"/>
              <w:right w:val="single" w:sz="4" w:color="D9D9D9"/>
            </w:tcBorders>
          </w:tcPr>
          <w:p>
            <w:pPr>
              <w:spacing w:after="60"/>
            </w:pPr>
            <w:r>
              <w:rPr>
                <w:sz w:val="18"/>
              </w:rPr>
              <w:t>Kumppaniesittely ja linkki organisaation sivulle</w:t>
              <w:br/>
              <w:t>Sheprockin erillinen aikuisille suunnattu kumppanisivu; lopullinen URL [sovitaan]</w:t>
            </w:r>
          </w:p>
        </w:tc>
        <w:tc>
          <w:tcPr>
            <w:tcW w:type="dxa" w:w="2381"/>
            <w:tcBorders>
              <w:top w:val="single" w:sz="4" w:color="D9D9D9"/>
              <w:left w:val="single" w:sz="4" w:color="D9D9D9"/>
              <w:bottom w:val="single" w:sz="4" w:color="D9D9D9"/>
              <w:right w:val="single" w:sz="4" w:color="D9D9D9"/>
            </w:tcBorders>
          </w:tcPr>
          <w:p>
            <w:pPr>
              <w:spacing w:after="60"/>
            </w:pPr>
            <w:r>
              <w:rPr>
                <w:sz w:val="18"/>
              </w:rPr>
              <w:t>[päivä]</w:t>
            </w:r>
          </w:p>
        </w:tc>
        <w:tc>
          <w:tcPr>
            <w:tcW w:type="dxa" w:w="2381"/>
            <w:tcBorders>
              <w:top w:val="single" w:sz="4" w:color="D9D9D9"/>
              <w:left w:val="single" w:sz="4" w:color="D9D9D9"/>
              <w:bottom w:val="single" w:sz="4" w:color="D9D9D9"/>
              <w:right w:val="single" w:sz="4" w:color="D9D9D9"/>
            </w:tcBorders>
          </w:tcPr>
          <w:p>
            <w:pPr>
              <w:spacing w:after="60"/>
            </w:pPr>
            <w:r>
              <w:rPr>
                <w:sz w:val="18"/>
              </w:rPr>
              <w:t>12 kk sovitusta julkaisemisesta</w:t>
            </w:r>
          </w:p>
        </w:tc>
        <w:tc>
          <w:tcPr>
            <w:tcW w:type="dxa" w:w="2381"/>
            <w:tcBorders>
              <w:top w:val="single" w:sz="4" w:color="D9D9D9"/>
              <w:left w:val="single" w:sz="4" w:color="D9D9D9"/>
              <w:bottom w:val="single" w:sz="4" w:color="D9D9D9"/>
              <w:right w:val="single" w:sz="4" w:color="D9D9D9"/>
            </w:tcBorders>
          </w:tcPr>
          <w:p>
            <w:pPr>
              <w:spacing w:after="60"/>
            </w:pPr>
            <w:r>
              <w:rPr>
                <w:sz w:val="18"/>
              </w:rPr>
              <w:t>[summa]</w:t>
            </w:r>
          </w:p>
        </w:tc>
      </w:tr>
      <w:tr>
        <w:trPr>
          <w:cantSplit/>
        </w:trPr>
        <w:tc>
          <w:tcPr>
            <w:tcW w:type="dxa" w:w="2381"/>
            <w:tcBorders>
              <w:top w:val="single" w:sz="4" w:color="D9D9D9"/>
              <w:left w:val="single" w:sz="4" w:color="D9D9D9"/>
              <w:bottom w:val="single" w:sz="4" w:color="D9D9D9"/>
              <w:right w:val="single" w:sz="4" w:color="D9D9D9"/>
            </w:tcBorders>
          </w:tcPr>
          <w:p>
            <w:pPr>
              <w:spacing w:after="60"/>
            </w:pPr>
            <w:r>
              <w:rPr>
                <w:sz w:val="18"/>
              </w:rPr>
              <w:t>Yhteistyökuva ja teksti 1</w:t>
              <w:br/>
              <w:t>Valittua kohdennusta kuvaava viestintäaineisto kumppanin omaan markkinointiin</w:t>
            </w:r>
          </w:p>
        </w:tc>
        <w:tc>
          <w:tcPr>
            <w:tcW w:type="dxa" w:w="2381"/>
            <w:tcBorders>
              <w:top w:val="single" w:sz="4" w:color="D9D9D9"/>
              <w:left w:val="single" w:sz="4" w:color="D9D9D9"/>
              <w:bottom w:val="single" w:sz="4" w:color="D9D9D9"/>
              <w:right w:val="single" w:sz="4" w:color="D9D9D9"/>
            </w:tcBorders>
          </w:tcPr>
          <w:p>
            <w:pPr>
              <w:spacing w:after="60"/>
            </w:pPr>
            <w:r>
              <w:rPr>
                <w:sz w:val="18"/>
              </w:rPr>
              <w:t>[päivä]</w:t>
            </w:r>
          </w:p>
        </w:tc>
        <w:tc>
          <w:tcPr>
            <w:tcW w:type="dxa" w:w="2381"/>
            <w:tcBorders>
              <w:top w:val="single" w:sz="4" w:color="D9D9D9"/>
              <w:left w:val="single" w:sz="4" w:color="D9D9D9"/>
              <w:bottom w:val="single" w:sz="4" w:color="D9D9D9"/>
              <w:right w:val="single" w:sz="4" w:color="D9D9D9"/>
            </w:tcBorders>
          </w:tcPr>
          <w:p>
            <w:pPr>
              <w:spacing w:after="60"/>
            </w:pPr>
            <w:r>
              <w:rPr>
                <w:sz w:val="18"/>
              </w:rPr>
              <w:t>12 kk sovitusta toimituksesta</w:t>
            </w:r>
          </w:p>
        </w:tc>
        <w:tc>
          <w:tcPr>
            <w:tcW w:type="dxa" w:w="2381"/>
            <w:tcBorders>
              <w:top w:val="single" w:sz="4" w:color="D9D9D9"/>
              <w:left w:val="single" w:sz="4" w:color="D9D9D9"/>
              <w:bottom w:val="single" w:sz="4" w:color="D9D9D9"/>
              <w:right w:val="single" w:sz="4" w:color="D9D9D9"/>
            </w:tcBorders>
          </w:tcPr>
          <w:p>
            <w:pPr>
              <w:spacing w:after="60"/>
            </w:pPr>
            <w:r>
              <w:rPr>
                <w:sz w:val="18"/>
              </w:rPr>
              <w:t>[summa]</w:t>
            </w:r>
          </w:p>
        </w:tc>
      </w:tr>
      <w:tr>
        <w:trPr>
          <w:cantSplit/>
        </w:trPr>
        <w:tc>
          <w:tcPr>
            <w:tcW w:type="dxa" w:w="2381"/>
            <w:tcBorders>
              <w:top w:val="single" w:sz="4" w:color="D9D9D9"/>
              <w:left w:val="single" w:sz="4" w:color="D9D9D9"/>
              <w:bottom w:val="single" w:sz="4" w:color="D9D9D9"/>
              <w:right w:val="single" w:sz="4" w:color="D9D9D9"/>
            </w:tcBorders>
          </w:tcPr>
          <w:p>
            <w:pPr>
              <w:spacing w:after="60"/>
            </w:pPr>
            <w:r>
              <w:rPr>
                <w:sz w:val="18"/>
              </w:rPr>
              <w:t>Kuva- ja tekstiaineisto 2</w:t>
              <w:br/>
              <w:t>Tuotantokumppanin toinen erillinen aineisto; laajemmassa paketissa [sovitaan]</w:t>
            </w:r>
          </w:p>
        </w:tc>
        <w:tc>
          <w:tcPr>
            <w:tcW w:type="dxa" w:w="2381"/>
            <w:tcBorders>
              <w:top w:val="single" w:sz="4" w:color="D9D9D9"/>
              <w:left w:val="single" w:sz="4" w:color="D9D9D9"/>
              <w:bottom w:val="single" w:sz="4" w:color="D9D9D9"/>
              <w:right w:val="single" w:sz="4" w:color="D9D9D9"/>
            </w:tcBorders>
          </w:tcPr>
          <w:p>
            <w:pPr>
              <w:spacing w:after="60"/>
            </w:pPr>
            <w:r>
              <w:rPr>
                <w:sz w:val="18"/>
              </w:rPr>
              <w:t>[päivä / ei kuulu]</w:t>
            </w:r>
          </w:p>
        </w:tc>
        <w:tc>
          <w:tcPr>
            <w:tcW w:type="dxa" w:w="2381"/>
            <w:tcBorders>
              <w:top w:val="single" w:sz="4" w:color="D9D9D9"/>
              <w:left w:val="single" w:sz="4" w:color="D9D9D9"/>
              <w:bottom w:val="single" w:sz="4" w:color="D9D9D9"/>
              <w:right w:val="single" w:sz="4" w:color="D9D9D9"/>
            </w:tcBorders>
          </w:tcPr>
          <w:p>
            <w:pPr>
              <w:spacing w:after="60"/>
            </w:pPr>
            <w:r>
              <w:rPr>
                <w:sz w:val="18"/>
              </w:rPr>
              <w:t>12 kk sovitusta toimituksesta</w:t>
            </w:r>
          </w:p>
        </w:tc>
        <w:tc>
          <w:tcPr>
            <w:tcW w:type="dxa" w:w="2381"/>
            <w:tcBorders>
              <w:top w:val="single" w:sz="4" w:color="D9D9D9"/>
              <w:left w:val="single" w:sz="4" w:color="D9D9D9"/>
              <w:bottom w:val="single" w:sz="4" w:color="D9D9D9"/>
              <w:right w:val="single" w:sz="4" w:color="D9D9D9"/>
            </w:tcBorders>
          </w:tcPr>
          <w:p>
            <w:pPr>
              <w:spacing w:after="60"/>
            </w:pPr>
            <w:r>
              <w:rPr>
                <w:sz w:val="18"/>
              </w:rPr>
              <w:t>[summa / 0]</w:t>
            </w:r>
          </w:p>
        </w:tc>
      </w:tr>
      <w:tr>
        <w:trPr>
          <w:cantSplit/>
        </w:trPr>
        <w:tc>
          <w:tcPr>
            <w:tcW w:type="dxa" w:w="2381"/>
            <w:tcBorders>
              <w:top w:val="single" w:sz="4" w:color="D9D9D9"/>
              <w:left w:val="single" w:sz="4" w:color="D9D9D9"/>
              <w:bottom w:val="single" w:sz="4" w:color="D9D9D9"/>
              <w:right w:val="single" w:sz="4" w:color="D9D9D9"/>
            </w:tcBorders>
          </w:tcPr>
          <w:p>
            <w:pPr>
              <w:spacing w:after="60"/>
            </w:pPr>
            <w:r>
              <w:rPr>
                <w:sz w:val="18"/>
              </w:rPr>
              <w:t>Yhteistyöjulkaisu Sheprockin yritysviestinnässä</w:t>
              <w:br/>
              <w:t>Tuotantokumppani; kanava [sovitaan]</w:t>
            </w:r>
          </w:p>
        </w:tc>
        <w:tc>
          <w:tcPr>
            <w:tcW w:type="dxa" w:w="2381"/>
            <w:tcBorders>
              <w:top w:val="single" w:sz="4" w:color="D9D9D9"/>
              <w:left w:val="single" w:sz="4" w:color="D9D9D9"/>
              <w:bottom w:val="single" w:sz="4" w:color="D9D9D9"/>
              <w:right w:val="single" w:sz="4" w:color="D9D9D9"/>
            </w:tcBorders>
          </w:tcPr>
          <w:p>
            <w:pPr>
              <w:spacing w:after="60"/>
            </w:pPr>
            <w:r>
              <w:rPr>
                <w:sz w:val="18"/>
              </w:rPr>
              <w:t>[päivä / ei kuulu]</w:t>
            </w:r>
          </w:p>
        </w:tc>
        <w:tc>
          <w:tcPr>
            <w:tcW w:type="dxa" w:w="2381"/>
            <w:tcBorders>
              <w:top w:val="single" w:sz="4" w:color="D9D9D9"/>
              <w:left w:val="single" w:sz="4" w:color="D9D9D9"/>
              <w:bottom w:val="single" w:sz="4" w:color="D9D9D9"/>
              <w:right w:val="single" w:sz="4" w:color="D9D9D9"/>
            </w:tcBorders>
          </w:tcPr>
          <w:p>
            <w:pPr>
              <w:spacing w:after="60"/>
            </w:pPr>
            <w:r>
              <w:rPr>
                <w:sz w:val="18"/>
              </w:rPr>
              <w:t>[säilyminen]</w:t>
            </w:r>
          </w:p>
        </w:tc>
        <w:tc>
          <w:tcPr>
            <w:tcW w:type="dxa" w:w="2381"/>
            <w:tcBorders>
              <w:top w:val="single" w:sz="4" w:color="D9D9D9"/>
              <w:left w:val="single" w:sz="4" w:color="D9D9D9"/>
              <w:bottom w:val="single" w:sz="4" w:color="D9D9D9"/>
              <w:right w:val="single" w:sz="4" w:color="D9D9D9"/>
            </w:tcBorders>
          </w:tcPr>
          <w:p>
            <w:pPr>
              <w:spacing w:after="60"/>
            </w:pPr>
            <w:r>
              <w:rPr>
                <w:sz w:val="18"/>
              </w:rPr>
              <w:t>[summa / 0]</w:t>
            </w:r>
          </w:p>
        </w:tc>
      </w:tr>
      <w:tr>
        <w:trPr>
          <w:cantSplit/>
        </w:trPr>
        <w:tc>
          <w:tcPr>
            <w:tcW w:type="dxa" w:w="2381"/>
            <w:tcBorders>
              <w:top w:val="single" w:sz="4" w:color="D9D9D9"/>
              <w:left w:val="single" w:sz="4" w:color="D9D9D9"/>
              <w:bottom w:val="single" w:sz="4" w:color="D9D9D9"/>
              <w:right w:val="single" w:sz="4" w:color="D9D9D9"/>
            </w:tcBorders>
          </w:tcPr>
          <w:p>
            <w:pPr>
              <w:spacing w:after="60"/>
            </w:pPr>
            <w:r>
              <w:rPr>
                <w:sz w:val="18"/>
              </w:rPr>
              <w:t>Nimi ja logo virike-elokuvan lopputeksteissä</w:t>
              <w:br/>
              <w:t>Nimetty elokuva ja versio [sovitaan]</w:t>
            </w:r>
          </w:p>
        </w:tc>
        <w:tc>
          <w:tcPr>
            <w:tcW w:type="dxa" w:w="2381"/>
            <w:tcBorders>
              <w:top w:val="single" w:sz="4" w:color="D9D9D9"/>
              <w:left w:val="single" w:sz="4" w:color="D9D9D9"/>
              <w:bottom w:val="single" w:sz="4" w:color="D9D9D9"/>
              <w:right w:val="single" w:sz="4" w:color="D9D9D9"/>
            </w:tcBorders>
          </w:tcPr>
          <w:p>
            <w:pPr>
              <w:spacing w:after="60"/>
            </w:pPr>
            <w:r>
              <w:rPr>
                <w:sz w:val="18"/>
              </w:rPr>
              <w:t>[päivä / ei kuulu]</w:t>
            </w:r>
          </w:p>
        </w:tc>
        <w:tc>
          <w:tcPr>
            <w:tcW w:type="dxa" w:w="2381"/>
            <w:tcBorders>
              <w:top w:val="single" w:sz="4" w:color="D9D9D9"/>
              <w:left w:val="single" w:sz="4" w:color="D9D9D9"/>
              <w:bottom w:val="single" w:sz="4" w:color="D9D9D9"/>
              <w:right w:val="single" w:sz="4" w:color="D9D9D9"/>
            </w:tcBorders>
          </w:tcPr>
          <w:p>
            <w:pPr>
              <w:spacing w:after="60"/>
            </w:pPr>
            <w:r>
              <w:rPr>
                <w:sz w:val="18"/>
              </w:rPr>
              <w:t>[version käyttö / päättymispäivä]</w:t>
            </w:r>
          </w:p>
        </w:tc>
        <w:tc>
          <w:tcPr>
            <w:tcW w:type="dxa" w:w="2381"/>
            <w:tcBorders>
              <w:top w:val="single" w:sz="4" w:color="D9D9D9"/>
              <w:left w:val="single" w:sz="4" w:color="D9D9D9"/>
              <w:bottom w:val="single" w:sz="4" w:color="D9D9D9"/>
              <w:right w:val="single" w:sz="4" w:color="D9D9D9"/>
            </w:tcBorders>
          </w:tcPr>
          <w:p>
            <w:pPr>
              <w:spacing w:after="60"/>
            </w:pPr>
            <w:r>
              <w:rPr>
                <w:sz w:val="18"/>
              </w:rPr>
              <w:t>[summa / 0]</w:t>
            </w:r>
          </w:p>
        </w:tc>
      </w:tr>
      <w:tr>
        <w:trPr>
          <w:cantSplit/>
        </w:trPr>
        <w:tc>
          <w:tcPr>
            <w:tcW w:type="dxa" w:w="2381"/>
            <w:tcBorders>
              <w:top w:val="single" w:sz="4" w:color="D9D9D9"/>
              <w:left w:val="single" w:sz="4" w:color="D9D9D9"/>
              <w:bottom w:val="single" w:sz="4" w:color="D9D9D9"/>
              <w:right w:val="single" w:sz="4" w:color="D9D9D9"/>
            </w:tcBorders>
          </w:tcPr>
          <w:p>
            <w:pPr>
              <w:spacing w:after="60"/>
            </w:pPr>
            <w:r>
              <w:rPr>
                <w:sz w:val="18"/>
              </w:rPr>
              <w:t>Aloituskeskustelu ja kaksi etenemisyhteenvetoa tuotantokumppanille sekä sovittu loppuyhteenveto</w:t>
              <w:br/>
              <w:t>Muut toimitukset [sovitaan]</w:t>
            </w:r>
          </w:p>
        </w:tc>
        <w:tc>
          <w:tcPr>
            <w:tcW w:type="dxa" w:w="2381"/>
            <w:tcBorders>
              <w:top w:val="single" w:sz="4" w:color="D9D9D9"/>
              <w:left w:val="single" w:sz="4" w:color="D9D9D9"/>
              <w:bottom w:val="single" w:sz="4" w:color="D9D9D9"/>
              <w:right w:val="single" w:sz="4" w:color="D9D9D9"/>
            </w:tcBorders>
          </w:tcPr>
          <w:p>
            <w:pPr>
              <w:spacing w:after="60"/>
            </w:pPr>
            <w:r>
              <w:rPr>
                <w:sz w:val="18"/>
              </w:rPr>
              <w:t>[päivät]</w:t>
            </w:r>
          </w:p>
        </w:tc>
        <w:tc>
          <w:tcPr>
            <w:tcW w:type="dxa" w:w="2381"/>
            <w:tcBorders>
              <w:top w:val="single" w:sz="4" w:color="D9D9D9"/>
              <w:left w:val="single" w:sz="4" w:color="D9D9D9"/>
              <w:bottom w:val="single" w:sz="4" w:color="D9D9D9"/>
              <w:right w:val="single" w:sz="4" w:color="D9D9D9"/>
            </w:tcBorders>
          </w:tcPr>
          <w:p>
            <w:pPr>
              <w:spacing w:after="60"/>
            </w:pPr>
            <w:r>
              <w:rPr>
                <w:sz w:val="18"/>
              </w:rPr>
              <w:t>Sovitut toimitukset</w:t>
            </w:r>
          </w:p>
        </w:tc>
        <w:tc>
          <w:tcPr>
            <w:tcW w:type="dxa" w:w="2381"/>
            <w:tcBorders>
              <w:top w:val="single" w:sz="4" w:color="D9D9D9"/>
              <w:left w:val="single" w:sz="4" w:color="D9D9D9"/>
              <w:bottom w:val="single" w:sz="4" w:color="D9D9D9"/>
              <w:right w:val="single" w:sz="4" w:color="D9D9D9"/>
            </w:tcBorders>
          </w:tcPr>
          <w:p>
            <w:pPr>
              <w:spacing w:after="60"/>
            </w:pPr>
            <w:r>
              <w:rPr>
                <w:sz w:val="18"/>
              </w:rPr>
              <w:t>[summa]</w:t>
            </w:r>
          </w:p>
        </w:tc>
      </w:tr>
    </w:tbl>
    <w:p>
      <w:pPr>
        <w:spacing w:after="60"/>
      </w:pPr>
    </w:p>
    <w:p>
      <w:pPr>
        <w:spacing w:after="60"/>
      </w:pPr>
      <w:r>
        <w:rPr>
          <w:sz w:val="19"/>
        </w:rPr>
        <w:t>Viestintäaineistojen hyväksyminen: osapuolet hyväksyvät oman nimensä ja logonsa oikeellisuuden sekä niitä koskevat faktat ennen julkaisua. Kommentointiaika ja hyväksymismenettely: [sovitaan].</w:t>
      </w:r>
    </w:p>
    <w:p>
      <w:pPr>
        <w:spacing w:after="60"/>
      </w:pPr>
      <w:r>
        <w:rPr>
          <w:sz w:val="19"/>
        </w:rPr>
        <w:t>Logo ja aineistot toimitetaan viimeistään  [täydennä]</w:t>
      </w:r>
    </w:p>
    <w:p>
      <w:pPr>
        <w:spacing w:after="60"/>
      </w:pPr>
      <w:r>
        <w:rPr>
          <w:sz w:val="19"/>
        </w:rPr>
        <w:t>Raportointi: yhteenveto toteutuneesta työstä ja vastineista; tuotantokumppanuudessa lisäksi kaksi etenemisyhteenvetoa. Toimituspäivät ja mahdolliset lisätiedot: [sovitaan].</w:t>
      </w:r>
    </w:p>
    <w:p>
      <w:pPr>
        <w:spacing w:after="60"/>
      </w:pPr>
      <w:r>
        <w:rPr>
          <w:sz w:val="19"/>
        </w:rPr>
        <w:t>Aiemmin julkaistujen aineistojen säilyminen käyttöajan päättyessä  [täydennä]</w:t>
      </w:r>
    </w:p>
    <w:p>
      <w:pPr>
        <w:spacing w:after="60"/>
      </w:pPr>
      <w:r>
        <w:rPr>
          <w:sz w:val="19"/>
        </w:rPr>
        <w:t>Sheprockin yhteyshenkilöt: Petra Paimenkallio ja Bäsmä Roinisto, sheprockmedia@gmail.com. Kumppanin vastuuhenkilö ja muut sovitut ehdot: [täydennä].</w:t>
      </w:r>
    </w:p>
    <w:p>
      <w:pPr>
        <w:pStyle w:val="Heading1"/>
        <w:spacing w:after="60"/>
      </w:pPr>
      <w:r>
        <w:rPr>
          <w:sz w:val="19"/>
        </w:rPr>
        <w:t>Allekirjoitukset</w:t>
      </w:r>
    </w:p>
    <w:p>
      <w:pPr>
        <w:spacing w:after="60"/>
      </w:pPr>
      <w:r>
        <w:rPr>
          <w:sz w:val="19"/>
        </w:rPr>
        <w:t>Osapuolet hyväksyvät tämän sopimuksen ja täytetyn liitteen 1. Allekirjoittajat vahvistavat toimivaltansa edustaa organisaatiotaan. Sopimus voidaan allekirjoittaa sähköisesti tai kahtena samansisältöisenä kappaleena.</w:t>
      </w:r>
    </w:p>
    <w:p>
      <w:pPr>
        <w:spacing w:after="60"/>
      </w:pPr>
      <w:r>
        <w:rPr>
          <w:sz w:val="19"/>
        </w:rPr>
        <w:t>Paikka: Hämeenlinna / sähköinen allekirjoitus. Päivä: [allekirjoituspäivä].</w:t>
      </w:r>
    </w:p>
    <w:tbl>
      <w:tblPr>
        <w:tblW w:type="auto" w:w="0"/>
        <w:tblLayout w:type="fixed"/>
        <w:tblLook w:firstColumn="1" w:firstRow="1" w:lastColumn="0" w:lastRow="0" w:noHBand="0" w:noVBand="1" w:val="04A0"/>
      </w:tblPr>
      <w:tblGrid>
        <w:gridCol w:w="4762"/>
        <w:gridCol w:w="4762"/>
      </w:tblGrid>
      <w:tr>
        <w:trPr>
          <w:cantSplit/>
        </w:trPr>
        <w:tc>
          <w:tcPr>
            <w:tcW w:type="dxa" w:w="4762"/>
          </w:tcPr>
          <w:p>
            <w:pPr>
              <w:spacing w:after="40"/>
            </w:pPr>
            <w:r>
              <w:rPr>
                <w:sz w:val="19"/>
              </w:rPr>
              <w:t>Sheprock Media Oy</w:t>
              <w:br/>
              <w:t>Allekirjoitus: __________________________________</w:t>
              <w:br/>
              <w:t>Nimenselvennys ja asema: [täydennä]</w:t>
            </w:r>
          </w:p>
        </w:tc>
        <w:tc>
          <w:tcPr>
            <w:tcW w:type="dxa" w:w="4762"/>
          </w:tcPr>
          <w:p>
            <w:pPr>
              <w:spacing w:after="40"/>
            </w:pPr>
            <w:r>
              <w:rPr>
                <w:sz w:val="19"/>
              </w:rPr>
              <w:t>Kumppani [virallinen nimi]</w:t>
              <w:br/>
              <w:t>Allekirjoitus: __________________________________</w:t>
              <w:br/>
              <w:t>Nimenselvennys ja asema: [täydennä]</w:t>
            </w:r>
          </w:p>
        </w:tc>
      </w:tr>
    </w:tbl>
    <w:sectPr w:rsidR="00FC693F" w:rsidRPr="0006063C" w:rsidSect="00034616">
      <w:headerReference w:type="default" r:id="rId9"/>
      <w:footerReference w:type="default" r:id="rId10"/>
      <w:pgSz w:w="11906" w:h="16838"/>
      <w:pgMar w:top="1077"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Sponsorisopimus  |  Pohja 5.10.2026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sheprock-mark.png"/>
                  <pic:cNvPicPr/>
                </pic:nvPicPr>
                <pic:blipFill>
                  <a:blip r:embed="rId1"/>
                  <a:stretch>
                    <a:fillRect/>
                  </a:stretch>
                </pic:blipFill>
                <pic:spPr>
                  <a:xfrm>
                    <a:off x="0" y="0"/>
                    <a:ext cx="288000" cy="288000"/>
                  </a:xfrm>
                  <a:prstGeom prst="rect"/>
                </pic:spPr>
              </pic:pic>
            </a:graphicData>
          </a:graphic>
        </wp:inline>
      </w:drawing>
    </w:r>
    <w:r>
      <w:rPr>
        <w:sz w:val="18"/>
      </w:rPr>
      <w:t xml:space="preserve">  SHEPROCK MEDIA OY  |  KUMPPANUUS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0"/>
      <w:outlineLvl w:val="0"/>
    </w:pPr>
    <w:rPr>
      <w:rFonts w:asciiTheme="majorHAnsi" w:eastAsiaTheme="majorEastAsia" w:hAnsiTheme="majorHAnsi" w:cstheme="majorBidi" w:ascii="Calibri" w:hAnsi="Calibri"/>
      <w:b/>
      <w:bCs/>
      <w:color w:val="392345"/>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A07C2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Sheprock Media Oy 13:1 sponsorisopimus</dc:title>
  <dc:subject>Vastikkeellinen kehittämis- ja tuotantokumppanuus</dc:subject>
  <dc:creator>Sheprock Media Oy</dc:creator>
  <cp:keywords/>
  <dc:description>generated by python-docx</dc:description>
  <cp:lastModifiedBy/>
  <cp:revision>1</cp:revision>
  <dcterms:created xsi:type="dcterms:W3CDTF">2013-12-23T23:15:00Z</dcterms:created>
  <dcterms:modified xsi:type="dcterms:W3CDTF">2013-12-23T23:15:00Z</dcterms:modified>
  <cp:category/>
</cp:coreProperties>
</file>